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8F" w:rsidRDefault="00B42097" w:rsidP="001E6C8F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PROCESSO Nº 2022036735 </w:t>
      </w:r>
    </w:p>
    <w:p w:rsidR="001E6C8F" w:rsidRDefault="00B42097" w:rsidP="001E6C8F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FUNDO M</w:t>
      </w:r>
      <w:r w:rsidR="001E6C8F">
        <w:rPr>
          <w:rFonts w:ascii="Times New Roman" w:hAnsi="Times New Roman" w:cs="Times New Roman"/>
          <w:b/>
          <w:color w:val="0A0000"/>
          <w:sz w:val="24"/>
        </w:rPr>
        <w:t>UNICIPAL DE ASSISTENCIA SOCIAL</w:t>
      </w:r>
    </w:p>
    <w:p w:rsidR="001E6C8F" w:rsidRDefault="00B42097" w:rsidP="001E6C8F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PREGÃO PRESENCIAL</w:t>
      </w:r>
      <w:r w:rsidR="001E6C8F">
        <w:rPr>
          <w:rFonts w:ascii="Times New Roman" w:hAnsi="Times New Roman" w:cs="Times New Roman"/>
          <w:b/>
          <w:color w:val="0A0000"/>
          <w:sz w:val="24"/>
        </w:rPr>
        <w:t xml:space="preserve"> ARP</w:t>
      </w:r>
      <w:r>
        <w:rPr>
          <w:rFonts w:ascii="Times New Roman" w:hAnsi="Times New Roman" w:cs="Times New Roman"/>
          <w:b/>
          <w:color w:val="0A0000"/>
          <w:sz w:val="24"/>
        </w:rPr>
        <w:t xml:space="preserve"> Nº</w:t>
      </w:r>
      <w:r w:rsidR="001E6C8F">
        <w:rPr>
          <w:rFonts w:ascii="Times New Roman" w:hAnsi="Times New Roman" w:cs="Times New Roman"/>
          <w:b/>
          <w:color w:val="0A0000"/>
          <w:sz w:val="24"/>
        </w:rPr>
        <w:t xml:space="preserve"> 056/2022</w:t>
      </w:r>
    </w:p>
    <w:p w:rsidR="001E6C8F" w:rsidRDefault="001E6C8F" w:rsidP="001E6C8F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B42097" w:rsidRDefault="001E6C8F" w:rsidP="001E6C8F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OBJETO:</w:t>
      </w:r>
      <w:r w:rsidR="00B42097">
        <w:rPr>
          <w:rFonts w:ascii="Times New Roman" w:hAnsi="Times New Roman" w:cs="Times New Roman"/>
          <w:b/>
          <w:color w:val="0A0000"/>
          <w:sz w:val="24"/>
        </w:rPr>
        <w:t xml:space="preserve"> Eventuais e futuras aquisições de gêneros alimentícios panificados e quitandas (pão de sal, pão doce variados, roscas diversas, tortas doce e salgada, frios, queijos, </w:t>
      </w:r>
      <w:proofErr w:type="spellStart"/>
      <w:r w:rsidR="00B42097">
        <w:rPr>
          <w:rFonts w:ascii="Times New Roman" w:hAnsi="Times New Roman" w:cs="Times New Roman"/>
          <w:b/>
          <w:color w:val="0A0000"/>
          <w:sz w:val="24"/>
        </w:rPr>
        <w:t>apresuntado</w:t>
      </w:r>
      <w:proofErr w:type="spellEnd"/>
      <w:r w:rsidR="00B42097">
        <w:rPr>
          <w:rFonts w:ascii="Times New Roman" w:hAnsi="Times New Roman" w:cs="Times New Roman"/>
          <w:b/>
          <w:color w:val="0A0000"/>
          <w:sz w:val="24"/>
        </w:rPr>
        <w:t>, mortadela e Leite) para a Secretaria Municipal de Des</w:t>
      </w:r>
      <w:r>
        <w:rPr>
          <w:rFonts w:ascii="Times New Roman" w:hAnsi="Times New Roman" w:cs="Times New Roman"/>
          <w:b/>
          <w:color w:val="0A0000"/>
          <w:sz w:val="24"/>
        </w:rPr>
        <w:t>envolvimento Social e Trabalho.</w:t>
      </w:r>
    </w:p>
    <w:p w:rsidR="00B42097" w:rsidRDefault="00B42097" w:rsidP="00B42097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1E6C8F" w:rsidRDefault="001E6C8F" w:rsidP="001E6C8F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DESPACHO</w:t>
      </w:r>
    </w:p>
    <w:p w:rsidR="001E6C8F" w:rsidRDefault="001E6C8F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</w:t>
      </w:r>
      <w:r>
        <w:rPr>
          <w:rFonts w:ascii="Times New Roman" w:hAnsi="Times New Roman" w:cs="Times New Roman"/>
          <w:color w:val="0A0000"/>
          <w:sz w:val="24"/>
        </w:rPr>
        <w:t xml:space="preserve">Tendo em vista o que consta dos presentes autos e considerando a regularidade de todo o procedimento licitatório, em especial o julgamento e a adjudicação procedidos  pelo Pregoeiro, inserto nestes autos, bem como Parecer Jurídico, </w:t>
      </w:r>
      <w:r>
        <w:rPr>
          <w:rFonts w:ascii="Times New Roman" w:hAnsi="Times New Roman" w:cs="Times New Roman"/>
          <w:b/>
          <w:color w:val="0A0000"/>
          <w:sz w:val="24"/>
        </w:rPr>
        <w:t>RESOLVO</w:t>
      </w:r>
      <w:r>
        <w:rPr>
          <w:rFonts w:ascii="Times New Roman" w:hAnsi="Times New Roman" w:cs="Times New Roman"/>
          <w:color w:val="0A0000"/>
          <w:sz w:val="24"/>
        </w:rPr>
        <w:t xml:space="preserve">, no uso de minhas atribuições legais, com fulcro nas disposições do art. 4, XXII da Lei n. 10.520, de 17 de julho de 2002, com modificações posteriores, </w:t>
      </w:r>
      <w:r>
        <w:rPr>
          <w:rFonts w:ascii="Times New Roman" w:hAnsi="Times New Roman" w:cs="Times New Roman"/>
          <w:b/>
          <w:color w:val="0A0000"/>
          <w:sz w:val="24"/>
        </w:rPr>
        <w:t xml:space="preserve">HOMOLOGAR </w:t>
      </w:r>
      <w:r>
        <w:rPr>
          <w:rFonts w:ascii="Times New Roman" w:hAnsi="Times New Roman" w:cs="Times New Roman"/>
          <w:color w:val="0A0000"/>
          <w:sz w:val="24"/>
        </w:rPr>
        <w:t xml:space="preserve">o procedimento licitatório realizado na modalidade </w:t>
      </w:r>
      <w:r>
        <w:rPr>
          <w:rFonts w:ascii="Times New Roman" w:hAnsi="Times New Roman" w:cs="Times New Roman"/>
          <w:b/>
          <w:color w:val="0A0000"/>
          <w:sz w:val="24"/>
        </w:rPr>
        <w:t>de Pregão Presencial</w:t>
      </w:r>
      <w:r w:rsidR="001E6C8F">
        <w:rPr>
          <w:rFonts w:ascii="Times New Roman" w:hAnsi="Times New Roman" w:cs="Times New Roman"/>
          <w:b/>
          <w:color w:val="0A0000"/>
          <w:sz w:val="24"/>
        </w:rPr>
        <w:t xml:space="preserve"> ARP</w:t>
      </w:r>
      <w:r>
        <w:rPr>
          <w:rFonts w:ascii="Times New Roman" w:hAnsi="Times New Roman" w:cs="Times New Roman"/>
          <w:b/>
          <w:color w:val="0A0000"/>
          <w:sz w:val="24"/>
        </w:rPr>
        <w:t xml:space="preserve"> nº 056/2022</w:t>
      </w:r>
      <w:r>
        <w:rPr>
          <w:rFonts w:ascii="Times New Roman" w:hAnsi="Times New Roman" w:cs="Times New Roman"/>
          <w:color w:val="0A0000"/>
          <w:sz w:val="24"/>
        </w:rPr>
        <w:t xml:space="preserve">, objetivando, a Eventuais e futuras aquisições de gêneros alimentícios panificados e quitandas (pão de sal, pão doce variados, roscas diversas, tortas doce e salgada, frios, queijos, </w:t>
      </w:r>
      <w:proofErr w:type="spellStart"/>
      <w:r>
        <w:rPr>
          <w:rFonts w:ascii="Times New Roman" w:hAnsi="Times New Roman" w:cs="Times New Roman"/>
          <w:color w:val="0A0000"/>
          <w:sz w:val="24"/>
        </w:rPr>
        <w:t>apresuntado</w:t>
      </w:r>
      <w:proofErr w:type="spellEnd"/>
      <w:r>
        <w:rPr>
          <w:rFonts w:ascii="Times New Roman" w:hAnsi="Times New Roman" w:cs="Times New Roman"/>
          <w:color w:val="0A0000"/>
          <w:sz w:val="24"/>
        </w:rPr>
        <w:t>, mortadela e Leite) para a Secretaria Municipal de Des</w:t>
      </w:r>
      <w:r w:rsidR="001E6C8F">
        <w:rPr>
          <w:rFonts w:ascii="Times New Roman" w:hAnsi="Times New Roman" w:cs="Times New Roman"/>
          <w:color w:val="0A0000"/>
          <w:sz w:val="24"/>
        </w:rPr>
        <w:t>envolvimento Social e Trabalho</w:t>
      </w:r>
      <w:r>
        <w:rPr>
          <w:rFonts w:ascii="Times New Roman" w:hAnsi="Times New Roman" w:cs="Times New Roman"/>
          <w:color w:val="0A0000"/>
          <w:sz w:val="24"/>
        </w:rPr>
        <w:t xml:space="preserve">, para </w:t>
      </w:r>
      <w:r w:rsidR="001E6C8F">
        <w:rPr>
          <w:rFonts w:ascii="Times New Roman" w:hAnsi="Times New Roman" w:cs="Times New Roman"/>
          <w:color w:val="0A0000"/>
          <w:sz w:val="24"/>
        </w:rPr>
        <w:t>o cumprimento das atribuições do</w:t>
      </w:r>
      <w:r>
        <w:rPr>
          <w:rFonts w:ascii="Times New Roman" w:hAnsi="Times New Roman" w:cs="Times New Roman"/>
          <w:color w:val="0A0000"/>
          <w:sz w:val="24"/>
        </w:rPr>
        <w:t xml:space="preserve"> FUNDO MUNICIPAL DE ASSISTENCIA SOCIAL, apresentando-se </w:t>
      </w:r>
      <w:r w:rsidR="001E6C8F">
        <w:rPr>
          <w:rFonts w:ascii="Times New Roman" w:hAnsi="Times New Roman" w:cs="Times New Roman"/>
          <w:color w:val="0A0000"/>
          <w:sz w:val="24"/>
        </w:rPr>
        <w:t>como propostas mais vantajosas as das Empresas</w:t>
      </w:r>
      <w:r>
        <w:rPr>
          <w:rFonts w:ascii="Times New Roman" w:hAnsi="Times New Roman" w:cs="Times New Roman"/>
          <w:color w:val="0A0000"/>
          <w:sz w:val="24"/>
        </w:rPr>
        <w:t>:</w:t>
      </w:r>
    </w:p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COMERCIAL DE ALIMENTOS MARIZ - LTDA,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36.447.611/0001-20</w:t>
      </w:r>
      <w:r w:rsidR="003C3D00">
        <w:rPr>
          <w:rFonts w:ascii="Times New Roman" w:hAnsi="Times New Roman" w:cs="Times New Roman"/>
          <w:color w:val="0A0000"/>
          <w:sz w:val="24"/>
        </w:rPr>
        <w:t xml:space="preserve">, estabelecida na Avenida </w:t>
      </w:r>
      <w:proofErr w:type="spellStart"/>
      <w:r w:rsidR="003C3D00">
        <w:rPr>
          <w:rFonts w:ascii="Times New Roman" w:hAnsi="Times New Roman" w:cs="Times New Roman"/>
          <w:color w:val="0A0000"/>
          <w:sz w:val="24"/>
        </w:rPr>
        <w:t>Kisleu</w:t>
      </w:r>
      <w:proofErr w:type="spellEnd"/>
      <w:r w:rsidR="003C3D00">
        <w:rPr>
          <w:rFonts w:ascii="Times New Roman" w:hAnsi="Times New Roman" w:cs="Times New Roman"/>
          <w:color w:val="0A0000"/>
          <w:sz w:val="24"/>
        </w:rPr>
        <w:t xml:space="preserve"> Dias </w:t>
      </w:r>
      <w:proofErr w:type="gramStart"/>
      <w:r w:rsidR="003C3D00">
        <w:rPr>
          <w:rFonts w:ascii="Times New Roman" w:hAnsi="Times New Roman" w:cs="Times New Roman"/>
          <w:color w:val="0A0000"/>
          <w:sz w:val="24"/>
        </w:rPr>
        <w:t xml:space="preserve">Maciel </w:t>
      </w:r>
      <w:r>
        <w:rPr>
          <w:rFonts w:ascii="Times New Roman" w:hAnsi="Times New Roman" w:cs="Times New Roman"/>
          <w:color w:val="0A0000"/>
          <w:sz w:val="24"/>
        </w:rPr>
        <w:t xml:space="preserve"> S</w:t>
      </w:r>
      <w:proofErr w:type="gramEnd"/>
      <w:r w:rsidR="003C3D00">
        <w:rPr>
          <w:rFonts w:ascii="Times New Roman" w:hAnsi="Times New Roman" w:cs="Times New Roman"/>
          <w:color w:val="0A0000"/>
          <w:sz w:val="24"/>
        </w:rPr>
        <w:t xml:space="preserve"> </w:t>
      </w:r>
      <w:r>
        <w:rPr>
          <w:rFonts w:ascii="Times New Roman" w:hAnsi="Times New Roman" w:cs="Times New Roman"/>
          <w:color w:val="0A0000"/>
          <w:sz w:val="24"/>
        </w:rPr>
        <w:t>N</w:t>
      </w:r>
      <w:r w:rsidR="003C3D00">
        <w:rPr>
          <w:rFonts w:ascii="Times New Roman" w:hAnsi="Times New Roman" w:cs="Times New Roman"/>
          <w:color w:val="0A0000"/>
          <w:sz w:val="24"/>
        </w:rPr>
        <w:t>°, Quadra 142, Lote 31,</w:t>
      </w:r>
      <w:r>
        <w:rPr>
          <w:rFonts w:ascii="Times New Roman" w:hAnsi="Times New Roman" w:cs="Times New Roman"/>
          <w:color w:val="0A0000"/>
          <w:sz w:val="24"/>
        </w:rPr>
        <w:t xml:space="preserve"> Bairro P.E.D. II</w:t>
      </w:r>
      <w:r w:rsidR="003C3D00">
        <w:rPr>
          <w:rFonts w:ascii="Times New Roman" w:hAnsi="Times New Roman" w:cs="Times New Roman"/>
          <w:color w:val="0A0000"/>
          <w:sz w:val="24"/>
        </w:rPr>
        <w:t xml:space="preserve"> –</w:t>
      </w:r>
      <w:r>
        <w:rPr>
          <w:rFonts w:ascii="Times New Roman" w:hAnsi="Times New Roman" w:cs="Times New Roman"/>
          <w:color w:val="0A0000"/>
          <w:sz w:val="24"/>
        </w:rPr>
        <w:t xml:space="preserve"> LUZIANIA</w:t>
      </w:r>
      <w:r w:rsidR="003C3D00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1E6C8F" w:rsidRDefault="001E6C8F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14"/>
        <w:gridCol w:w="1701"/>
        <w:gridCol w:w="992"/>
        <w:gridCol w:w="1134"/>
        <w:gridCol w:w="1276"/>
        <w:gridCol w:w="1417"/>
      </w:tblGrid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DESCRIÇÃO ITEM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03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Bolo tipo caseiro, sabor chocolate com cobertura. Fabricação diária com produtos de 1ª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acondicionado em tabuleiros com capacidade para 50 pedaços, coberto com plástico filme transparente, atóxico, limpo, não violado, resistente e que garanta a integridade do produto até o momento do consumo. Será rejeitado o bolo queimado ou mal assado,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</w:t>
            </w: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observando as orientações da Legislação Sanitária vigente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R$ 27,85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R$ 16.710,00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04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Bolo tipo caseiro, sabor formigueiro. Fabricação diária com produtos de 1ª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acondicionado em tabuleiros com capacidade para 50 pedaços, coberto com plástico filme transparente, atóxico, limpo, não violado, resistente e que garanta a integridade do produto até o momento do consumo. Será rejeitado o bolo queimado ou mal assado,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" ou cheiro de "azedo", bem como algum defeito de manuseio ou transporte feito de forma inadequada. O transporte do produto para as Unidades deverá ocorrer em carro refrigerado observando as orientações da Legislação Sanitária vigente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R$ 24,80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R$ 14.880,00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06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Bolo tipo caseiro, sabor milho. Fabricação diária com produtos de 1ª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acondicionado em tabuleiros com capacidade para 50 pedaços, coberto com plástico filme transparente, atóxico, limpo, não violado, resistente e que garanta a integridade do produto até o momento do consumo. Será rejeitado o bolo queimado ou mal assado,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" ou cheiro de "azedo", bem como algum defeito de manuseio ou transporte feito de forma inadequada. O transporte do produto para as Unidades deverá ocorrer em carro refrigerado observando as orientações da Legislação Sanitária vigente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R$ 24,30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R$ 14.580,00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07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Biscoito de queijo. Fabricação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diária,   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 produzido com produtos </w:t>
            </w: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de primeira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embalado em saco de polietileno transparente, atóxico, limpo, não violado, resistente e que garanta a integridade do produto até o momento do consumo. Os biscoitos de queijo deverão ser modelados uniformemente. Será rejeitado o biscoito queimado ou mal assado, amanhecido, com algum defeito de manuseio ou transporte feito de forma inadequada. O transporte do produto para as Unidades deverá ocorrer em carro refrigerado observando as orientações da Legislação Sanitária vigente. 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R$ 28,00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R$ 84.000,00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lastRenderedPageBreak/>
              <w:t>10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Pão doce do tipo: Pão Careca ou Pão para Hot-Dog. O pão deverá estar embalado em sacos plástico transparente, de maneira higiênica e ordenados, sem amassá-los. Será rejeitado o pão que estiver queimado ou mal assado. O pão deve ser fabricado com matérias primas de 1ª linha, isentos de matéria terrosa, parasitos e em perfeito estado de conservação, também deve ter tamanho padrão. O pão doce é o produto de sabor doce, preparado com adição de açúcar, manteiga ou gordura.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R$ 23,00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R$ 18.400,00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11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Pão de forma. Massa leve, produzida com ingredientes de 1ª linha: fatiado. Será rejeitado o pão que estiver queimado ou mal assado, com odor e sabor desagradável, presença de fungos e não será permitida a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adição  de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farelos e de corantes de qualquer natureza em sua confecção. Isento de parasita, sujidades, larvas e material estranho. Acondicionado em embalagem de polietileno resistente e atóxico, contendo na embalagem a identificação do produto, marca do fabricante, prazo de validade, data de embalagem, peso líquido. Validade mínima de 03 (três) dias a contar no ato da entrega. Unidade utilizada: Pacote de 500 g. O transporte do produto para as Unidades deverá ocorrer em carro refrigerado observando as orientações da Legislação Sanitária vigente.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R$ 23,80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R$ 7.140,00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12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Pão doce do tipo pão de batata. O pão deverá estar embalado em sacos plástico transparente, de maneira higiênica e ordenados, sem amassá-los. Será rejeitado o pão que estiver queimado ou mal assado, amanhecido, com algum defeito de manuseio ou transporte feito de forma inadequada. O pão deve ser fabricado com matérias primas de 1ª linha, isentos de matéria terrosa, parasitos e em perfeito estado de conservação, também deve ter tamanho padrão. O pão doce é o produto de sabor doce, preparado com adição de açúcar, manteiga ou gordura. O transporte do produto para as Unidades deverá ocorrer em carro refrigerado observando as orientações da Legislação Sanitária vigente.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R$ 27,90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R$ 5.580,00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Rosca doce tipo palito. Fabricação diária, produzida com produtos de primeira qualidade,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acondicionada em bandejas descartáveis de isopor e cobertas por plástico filme transparente, atóxico, limpo, não violado, resistente e que garanta a integridade do produto até o momento do consumo, com peso mínimo de 42 gramas e peso de máximo de 50 gramas, conforme. As roscas congeladas deverão ser modeladas uniformemente. Será rejeitado o produto que estiver queimado ou mal assado, amanhecido, com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PRODUÇÃO PRORIA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R$ 24,85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R$ 39.760,00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27</w:t>
            </w:r>
          </w:p>
        </w:tc>
        <w:tc>
          <w:tcPr>
            <w:tcW w:w="2414" w:type="dxa"/>
            <w:shd w:val="clear" w:color="auto" w:fill="auto"/>
          </w:tcPr>
          <w:p w:rsidR="003C3D00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Mortadela Fatiada: Composição: Carne suína, carne bovina, toucinho, carne mecanicamente separada de ave, amido, proteína vegetal, glicose, sal, lactose, estabilizante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tripolifosfato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sódio, conservadores: Nitratos e nitritos de sódio, aromatizantes: Aromas naturais,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realçador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sabor glutamato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monossódico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especiarias, antioxidante: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Eritorbato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sódio,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embalado em saco de polietileno transparente, atóxico, limpo, não violado, resistente e que garanta a integridade do produto até o momento do consumo, com peso máximo. Será rejeitado o produto que estiver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vigente, devendo o produto ser entregue congelado.  </w:t>
            </w:r>
          </w:p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FRIATO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R$ 22,95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R$ 11.475,00</w:t>
            </w:r>
          </w:p>
        </w:tc>
      </w:tr>
    </w:tbl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0B33A3" w:rsidRPr="000B33A3" w:rsidTr="003C3D00">
        <w:tc>
          <w:tcPr>
            <w:tcW w:w="8217" w:type="dxa"/>
            <w:shd w:val="clear" w:color="auto" w:fill="E1E1E1"/>
          </w:tcPr>
          <w:p w:rsidR="000B33A3" w:rsidRPr="000B33A3" w:rsidRDefault="000B33A3" w:rsidP="000B33A3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0B33A3" w:rsidRPr="000B33A3" w:rsidRDefault="000B33A3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R$ 212.525,00</w:t>
            </w:r>
          </w:p>
        </w:tc>
      </w:tr>
    </w:tbl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EDVALDO DE MELO &amp; CIA LTDA ME,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01.158.819/0001-44</w:t>
      </w:r>
      <w:r w:rsidR="003C3D00">
        <w:rPr>
          <w:rFonts w:ascii="Times New Roman" w:hAnsi="Times New Roman" w:cs="Times New Roman"/>
          <w:color w:val="0A0000"/>
          <w:sz w:val="24"/>
        </w:rPr>
        <w:t>, estabelecida na Rua Santíssimo Sacramento</w:t>
      </w:r>
      <w:r>
        <w:rPr>
          <w:rFonts w:ascii="Times New Roman" w:hAnsi="Times New Roman" w:cs="Times New Roman"/>
          <w:color w:val="0A0000"/>
          <w:sz w:val="24"/>
        </w:rPr>
        <w:t xml:space="preserve"> nº 73</w:t>
      </w:r>
      <w:r w:rsidR="003C3D00">
        <w:rPr>
          <w:rFonts w:ascii="Times New Roman" w:hAnsi="Times New Roman" w:cs="Times New Roman"/>
          <w:color w:val="0A0000"/>
          <w:sz w:val="24"/>
        </w:rPr>
        <w:t>, Bairro Centro –</w:t>
      </w:r>
      <w:r>
        <w:rPr>
          <w:rFonts w:ascii="Times New Roman" w:hAnsi="Times New Roman" w:cs="Times New Roman"/>
          <w:color w:val="0A0000"/>
          <w:sz w:val="24"/>
        </w:rPr>
        <w:t xml:space="preserve"> LUZIANIA</w:t>
      </w:r>
      <w:r w:rsidR="003C3D00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3C3D00" w:rsidRDefault="003C3D00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14"/>
        <w:gridCol w:w="1701"/>
        <w:gridCol w:w="992"/>
        <w:gridCol w:w="1134"/>
        <w:gridCol w:w="1276"/>
        <w:gridCol w:w="1417"/>
      </w:tblGrid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DESCRIÇÃO ITEM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02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Bolo tipo caseiro, sabor coco. Fabricação diária com produtos de 1ª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acondicionado em tabuleiros com capacidade para 50 pedaços, coberto com plástico filme transparente, atóxico, limpo, não violado, resistente e que garanta a integridade do produto até o momento do consumo. Será rejeitado o bolo queimado ou mal assado,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" ou cheiro de "azedo", bem como algum defeito de manuseio ou transporte feito de forma inadequada. O transporte do produto para as Unidades deverá ocorrer em carro refrigerado observando as orientações da Legislação Sanitária vigente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SANTA RITA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R$ 24,80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R$ 14.880,00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05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Bolo tipo caseiro, sabor mandioca. Fabricação diária com produtos de 1ª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acondicionado em tabuleiros com capacidade para 50 pedaços, coberto com plástico filme transparente, atóxico, limpo, não violado, resistente e que garanta a integridade do produto até o momento do consumo. Será rejeitado o bolo queimado ou mal assado,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SANTA RITA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R$ 24,30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R$ 14.580,00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09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Pão de Sal. Fabricação diária, produzidos com produtos de 1ª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linha,  apresentar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textura com aspecto próprio (não amolecido e nem pegajoso), cor própria (sem manchas esverdeadas ou azuladas), sabor e odor característicos, com ausência de sujidades, substâncias estranhas ao produto que sejam impróprias para o consumo ou que alterem suas características naturais. Estar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acondicionado  em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saco de polietileno transparente, atóxico, limpo, não violado, resistente e que garanta a integridade do produto até o momento do consumo. Os pães deverão ser modelados uniformemente com peso aproximado de 50 gramas cada unidade de pão, com tempo de fermentação de 12 horas. Será rejeitado o pão que estiver queimado ou mal assado, amanhecido, com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SANTA RITA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9000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R$ 18,85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R$ 169.650,00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13</w:t>
            </w:r>
          </w:p>
        </w:tc>
        <w:tc>
          <w:tcPr>
            <w:tcW w:w="2414" w:type="dxa"/>
            <w:shd w:val="clear" w:color="auto" w:fill="auto"/>
          </w:tcPr>
          <w:p w:rsidR="003C3D00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Pão de queijo. Fabricação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diária,   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produzido com produtos de primeira linha, apresentar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embalado em saco de polietileno transparente, atóxico, limpo, não violado, resistente e que garanta a integridade do produto até o momento do consumo. Os biscoitos de queijo deverão ser modelados uniformemente. Será rejeitado o pão de queijo que estiver queimado ou mal assado, amanhecido, com algum defeito de manuseio ou transporte feito de forma inadequada. O transporte do produto para as Unidades deverá ocorrer em carro refrigerado observando as orientações da Legislação Sanitária vigente, devendo o produto ser entregue congelado. O produto não pode ser entregue congelado. </w:t>
            </w:r>
          </w:p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SANTA RITA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R$ 28,10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R$ 84.300,00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14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Rosca doce tipo Trançada com coco. Fabricação diária, produzida com produtos de primeira qualidade,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acondicionada em bandejas descartáveis de isopor e cobertas por plástico filme transparente, atóxico, limpo, não violado, resistente e que garanta a integridade do produto até o momento do consumo, com peso mínimo de 42 gramas e peso de máximo de 50 gramas, conforme. As roscas deverão ser modeladas uniformemente. Será rejeitado o produto que estiver queimado ou mal assado, amanhecido, com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SANTA RITA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R$ 25,65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R$ 41.040,00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28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Apresuntado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cozido e fatiado. A base de pernil de suínos (carnes cruas e gorduras). </w:t>
            </w:r>
            <w:proofErr w:type="gramStart"/>
            <w:r>
              <w:rPr>
                <w:rFonts w:ascii="Times New Roman" w:hAnsi="Times New Roman" w:cs="Times New Roman"/>
                <w:color w:val="0A0000"/>
                <w:sz w:val="16"/>
              </w:rPr>
              <w:t>adicionado</w:t>
            </w:r>
            <w:proofErr w:type="gram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ingredientes e submetido a um processo de cozimento adequado. Os ingredientes obrigatórios são: carne de pernil de suíno, sal, nitrito e ou nitrato de sódio e ou potássio em forma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salmora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.;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embalado em saco de polietileno transparente, atóxico, limpo, não violado, resistente e que garanta a integridade do produto até o momento do consumo. Será rejeitado o produto que estiver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vigente, devendo o produto ser entregue congelado. 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FRIATO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R$ 32,95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R$ 19.770,00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29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Queijo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Mussarela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fatiado. Produzido com os seguintes ingredientes: Leite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pateurizado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fermento lácteo, coalho, sal, de 1ª linha,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embalado em saco de polietileno transparente, atóxico, limpo, não violado, resistente e que garanta a integridade do produto até o momento do consumo, com peso máximo. Será rejeitado o produto que estiver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vigente, devendo o produto ser entregue congelado.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FILOMENA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R$ 69,20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R$ 41.520,00</w:t>
            </w:r>
          </w:p>
        </w:tc>
      </w:tr>
      <w:tr w:rsidR="003C3D00" w:rsidRPr="000B33A3" w:rsidTr="003C3D00">
        <w:tc>
          <w:tcPr>
            <w:tcW w:w="700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31</w:t>
            </w:r>
          </w:p>
        </w:tc>
        <w:tc>
          <w:tcPr>
            <w:tcW w:w="241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Leite pasteurizado tipo C padronizado - fluido, homogeneizado, com teor de gordura mínimo de 3% (três por cento), embalados em sacos plásticos de polietileno, contendo 01 (um) litro. Será rejeitado o produto que estiver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embalagem rasgada, aberta, desbotada, suja ou que apresente algum dano relacionado a forma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manuseio ou transporte feito de forma inadequada. O transporte do produto para as Unidades deverá ocorrer em carro refrigerado observando as orientações da Legislação Sanitária vigente, devendo o produto ser entregue congelado.  </w:t>
            </w:r>
          </w:p>
        </w:tc>
        <w:tc>
          <w:tcPr>
            <w:tcW w:w="1701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FILOMENA</w:t>
            </w:r>
          </w:p>
        </w:tc>
        <w:tc>
          <w:tcPr>
            <w:tcW w:w="992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23100</w:t>
            </w:r>
          </w:p>
        </w:tc>
        <w:tc>
          <w:tcPr>
            <w:tcW w:w="1134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Litro</w:t>
            </w:r>
          </w:p>
        </w:tc>
        <w:tc>
          <w:tcPr>
            <w:tcW w:w="1276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R$ 7,80</w:t>
            </w:r>
          </w:p>
        </w:tc>
        <w:tc>
          <w:tcPr>
            <w:tcW w:w="1417" w:type="dxa"/>
            <w:shd w:val="clear" w:color="auto" w:fill="auto"/>
          </w:tcPr>
          <w:p w:rsidR="003C3D00" w:rsidRPr="000B33A3" w:rsidRDefault="003C3D00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R$ 180.180,00</w:t>
            </w:r>
          </w:p>
        </w:tc>
      </w:tr>
    </w:tbl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417"/>
      </w:tblGrid>
      <w:tr w:rsidR="000B33A3" w:rsidRPr="000B33A3" w:rsidTr="00E22954">
        <w:tc>
          <w:tcPr>
            <w:tcW w:w="8217" w:type="dxa"/>
            <w:shd w:val="clear" w:color="auto" w:fill="E1E1E1"/>
          </w:tcPr>
          <w:p w:rsidR="000B33A3" w:rsidRPr="000B33A3" w:rsidRDefault="000B33A3" w:rsidP="000B33A3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417" w:type="dxa"/>
            <w:shd w:val="clear" w:color="auto" w:fill="E1E1E1"/>
          </w:tcPr>
          <w:p w:rsidR="000B33A3" w:rsidRPr="000B33A3" w:rsidRDefault="000B33A3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R$ 565.920,00</w:t>
            </w:r>
          </w:p>
        </w:tc>
      </w:tr>
    </w:tbl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QUITANDA E CONFEITARIA SÃO JUDAS TADEU, </w:t>
      </w:r>
      <w:r>
        <w:rPr>
          <w:rFonts w:ascii="Times New Roman" w:hAnsi="Times New Roman" w:cs="Times New Roman"/>
          <w:color w:val="0A0000"/>
          <w:sz w:val="24"/>
        </w:rPr>
        <w:t>pessoa jurídica, devidamente inscrita no CNPJ sob nº 11.305.974/0001-08</w:t>
      </w:r>
      <w:r w:rsidR="00E22954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estabelecida na</w:t>
      </w:r>
      <w:r w:rsidR="00E22954">
        <w:rPr>
          <w:rFonts w:ascii="Times New Roman" w:hAnsi="Times New Roman" w:cs="Times New Roman"/>
          <w:color w:val="0A0000"/>
          <w:sz w:val="24"/>
        </w:rPr>
        <w:t xml:space="preserve"> Rua</w:t>
      </w:r>
      <w:r>
        <w:rPr>
          <w:rFonts w:ascii="Times New Roman" w:hAnsi="Times New Roman" w:cs="Times New Roman"/>
          <w:color w:val="0A0000"/>
          <w:sz w:val="24"/>
        </w:rPr>
        <w:t xml:space="preserve"> Americano do Brasil nº 191</w:t>
      </w:r>
      <w:r w:rsidR="00E22954">
        <w:rPr>
          <w:rFonts w:ascii="Times New Roman" w:hAnsi="Times New Roman" w:cs="Times New Roman"/>
          <w:color w:val="0A0000"/>
          <w:sz w:val="24"/>
        </w:rPr>
        <w:t>,</w:t>
      </w:r>
      <w:r>
        <w:rPr>
          <w:rFonts w:ascii="Times New Roman" w:hAnsi="Times New Roman" w:cs="Times New Roman"/>
          <w:color w:val="0A0000"/>
          <w:sz w:val="24"/>
        </w:rPr>
        <w:t xml:space="preserve"> Bairro Centro LUZIANIA</w:t>
      </w:r>
      <w:r w:rsidR="00E22954">
        <w:rPr>
          <w:rFonts w:ascii="Times New Roman" w:hAnsi="Times New Roman" w:cs="Times New Roman"/>
          <w:color w:val="0A0000"/>
          <w:sz w:val="24"/>
        </w:rPr>
        <w:t xml:space="preserve"> GO</w:t>
      </w:r>
      <w:r>
        <w:rPr>
          <w:rFonts w:ascii="Times New Roman" w:hAnsi="Times New Roman" w:cs="Times New Roman"/>
          <w:color w:val="0A0000"/>
          <w:sz w:val="24"/>
        </w:rPr>
        <w:t>, vencedora dos itens abaixo relacionados:</w:t>
      </w:r>
    </w:p>
    <w:p w:rsidR="00E22954" w:rsidRDefault="00E22954" w:rsidP="000B33A3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14"/>
        <w:gridCol w:w="1701"/>
        <w:gridCol w:w="992"/>
        <w:gridCol w:w="1134"/>
        <w:gridCol w:w="1276"/>
        <w:gridCol w:w="1417"/>
      </w:tblGrid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ITEM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DESCRIÇÃO ITEM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MARCA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QTDE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UNIDADE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4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4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VALOR TOTAL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01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Bolo tipo caseiro, sabor cenoura com cobertura de chocolate. Fabricação diária com produtos de 1ª linha, apresentar textura com aspecto próprio não amanhecido e nem pegajoso, sabor e odor característicos, com ausência de sujidades, e isento de substâncias estranhas ao produto que sejam impróprias para o consumo ou que alterem suas características naturais. Deverá ser acondicionado em tabuleiros com capacidade para 50 pedaços, coberto com plástico filme transparente, atóxico, limpo, não violado, resistente e que garanta a integridade do produto até o momento do consumo. Será rejeitado o bolo queimado ou mal assado,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R$ 27,80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R$ 16.680,00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08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Chipa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queijo. Fabricação diária, produzidas com produtos de primeira qualidade,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Deverá ser embalado em saco de polietileno transparente, atóxico, limpo, não violado, resistente e que garanta a integridade do produto até o momento do consumo. As massas de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chipa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deverão ser modeladas uniformemente. Será rejeitada a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chipa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que estiver queimada ou mal assada, amanhecido, com algum defeito de manuseio ou transporte feito de forma inadequada. O transporte do produto para as Unidades deverá ocorrer em carro refrigerado observando as orientações da Legislação Sanitária vigente.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R$ 28,55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R$ 28.550,00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16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frito para coquetel tipo Coxinha de Frango,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17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frito para coquetel tipo Quibe,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18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frito para coquetel tipo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Risole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 de Milho,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19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frito para coquetel tipo Pastel de Carne Moída,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frito para coquetel tipo Pastel de Queijo,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21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assado para coquetel tipo Empada de Frango,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R$ 13.200,00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22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Salgado assado para coquetel tipo Enroladinho de Queijo e Presunto, produzido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caixas descartáveis de isopor, limpa, não violada, resistente e que garanta a integridade do produto até o momento do consumo. Os salgados deverão ser modelos ser modeladas uniformemente.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Cento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R$ 66,00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R$ 6.600,00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23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Sanduíche natural de frango com recheio frango desfiado, alface, tomate, cenoura ralada, creme de leite, maionese e pão de forma, sem borda. Fabricado no dia da entrega, produzido com produtos de 1ª linha,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 e que garanta a integridade do produto até o momento do consumo. Embalados em plástico filme limpa, não violada, resistente e que garanta a integridade do produto até o momento do consumo.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R$ 56,70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R$ 5.670,00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24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Torta Salgada de Frango, com recheio de frango desfiado, milho verde, azeitona, cebola,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óregano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tomate em pedaços pequenos, queijo, pimenta do reino, pimenta de cheiro. Fabricado no dia da solicitação, produzida com produtos de 1ª linha,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tabuleiros grandes com capacidade para 50 pedaços e cobertos com plástico filme, limpa, não violada, resistente e que garanta a integridade do produto até o momento do consumo.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R$ 52,90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R$ 10.580,00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25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Torta Salgada de Carne Moída, com recheio de carne moída, milho verde, azeitona,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cebla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óregano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tomate em pedaços pequenos, queijo, pimenta do reino, pimenta de cheiro. Fabricado no dia da solicitação, produzida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tabuleiros grandes com capacidade para 50 pedaços e cobertos com plástico filme, limpa, não violada, resistente e que garanta a integridade do produto até o momento do consumo.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R$ 52,90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R$ 7.935,00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26</w:t>
            </w:r>
          </w:p>
        </w:tc>
        <w:tc>
          <w:tcPr>
            <w:tcW w:w="241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Torta Salgada de Queijo e Presunto, com recheio de queijo e presunto, azeitona, cebola,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óregano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, tomate em pedaços pequenos, pimenta do reino, pimenta de cheiro. Fabricado no dia da solicitação, produzida com produtos de 1ª linha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 Acondicionados em tabuleiros grandes com capacidade para 50 pedaços e cobertos com plástico filme, limpa, não violada, resistente e que garanta a integridade do produto até o momento do consumo.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vigente. O produto não pode ser entregue congelado. </w:t>
            </w: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R$ 52,90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R$ 7.935,00</w:t>
            </w:r>
          </w:p>
        </w:tc>
      </w:tr>
      <w:tr w:rsidR="00E22954" w:rsidRPr="000B33A3" w:rsidTr="00E22954">
        <w:tc>
          <w:tcPr>
            <w:tcW w:w="700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30</w:t>
            </w:r>
          </w:p>
        </w:tc>
        <w:tc>
          <w:tcPr>
            <w:tcW w:w="2414" w:type="dxa"/>
            <w:shd w:val="clear" w:color="auto" w:fill="auto"/>
          </w:tcPr>
          <w:p w:rsidR="00E22954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Torta doce tipo bolo de aniversário com recheio e cobertura, com a seguinte composição: Torta doce com recheios variados: abacaxi com leite ninho, ninho com morango, floresta negra, chocolate, doce de leite, maracujá e sonho de valsa. Deverão ser preparadas no mesmo dia da entrega com produtos de 1ª linha, textura com aspecto próprio (não amolecido e nem pegajoso), cor própria (sem manchas esverdeadas ou azuladas), sabor e odor característicos, com ausência de sujidades, e isenta de substâncias estranhas ao produto que sejam impróprias para o consumo ou que alterem suas características naturais., acondicionadas em embalagens especiais; hermeticamente fechadas resistente e que garanta a integridade do produto até o momento do consumo. Será rejeitado o produto que estiver queimado ou 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crú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>, amanhecido, com aspecto "</w:t>
            </w:r>
            <w:proofErr w:type="spellStart"/>
            <w:r>
              <w:rPr>
                <w:rFonts w:ascii="Times New Roman" w:hAnsi="Times New Roman" w:cs="Times New Roman"/>
                <w:color w:val="0A0000"/>
                <w:sz w:val="16"/>
              </w:rPr>
              <w:t>babento</w:t>
            </w:r>
            <w:proofErr w:type="spellEnd"/>
            <w:r>
              <w:rPr>
                <w:rFonts w:ascii="Times New Roman" w:hAnsi="Times New Roman" w:cs="Times New Roman"/>
                <w:color w:val="0A0000"/>
                <w:sz w:val="16"/>
              </w:rPr>
              <w:t xml:space="preserve">" ou cheiro de "azedo", bem como algum defeito de manuseio ou transporte feito de forma inadequada. O transporte do produto para as Unidades deverá ocorrer em carro refrigerado observando as orientações da Legislação Sanitária vigente, devendo o produto ser entregue congelado. O produto não pode ser entregue congelado. </w:t>
            </w:r>
          </w:p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QUITANDA</w:t>
            </w:r>
          </w:p>
        </w:tc>
        <w:tc>
          <w:tcPr>
            <w:tcW w:w="992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KG</w:t>
            </w:r>
          </w:p>
        </w:tc>
        <w:tc>
          <w:tcPr>
            <w:tcW w:w="1276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R$ 54,50</w:t>
            </w:r>
          </w:p>
        </w:tc>
        <w:tc>
          <w:tcPr>
            <w:tcW w:w="1417" w:type="dxa"/>
            <w:shd w:val="clear" w:color="auto" w:fill="auto"/>
          </w:tcPr>
          <w:p w:rsidR="00E22954" w:rsidRPr="000B33A3" w:rsidRDefault="00E22954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color w:val="0A0000"/>
                <w:sz w:val="16"/>
              </w:rPr>
              <w:t>R$ 27.250,00</w:t>
            </w:r>
          </w:p>
        </w:tc>
      </w:tr>
    </w:tbl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1E1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800"/>
      </w:tblGrid>
      <w:tr w:rsidR="000B33A3" w:rsidRPr="000B33A3" w:rsidTr="000B33A3">
        <w:tc>
          <w:tcPr>
            <w:tcW w:w="8000" w:type="dxa"/>
            <w:shd w:val="clear" w:color="auto" w:fill="E1E1E1"/>
          </w:tcPr>
          <w:p w:rsidR="000B33A3" w:rsidRPr="000B33A3" w:rsidRDefault="000B33A3" w:rsidP="000B33A3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FORNECEDOR</w:t>
            </w:r>
          </w:p>
        </w:tc>
        <w:tc>
          <w:tcPr>
            <w:tcW w:w="1800" w:type="dxa"/>
            <w:shd w:val="clear" w:color="auto" w:fill="E1E1E1"/>
          </w:tcPr>
          <w:p w:rsidR="000B33A3" w:rsidRPr="000B33A3" w:rsidRDefault="000B33A3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R$ 157.400,00</w:t>
            </w:r>
          </w:p>
        </w:tc>
      </w:tr>
    </w:tbl>
    <w:p w:rsid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16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BBBBB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800"/>
      </w:tblGrid>
      <w:tr w:rsidR="000B33A3" w:rsidRPr="000B33A3" w:rsidTr="000B33A3">
        <w:tc>
          <w:tcPr>
            <w:tcW w:w="8000" w:type="dxa"/>
            <w:shd w:val="clear" w:color="auto" w:fill="BBBBBB"/>
          </w:tcPr>
          <w:p w:rsidR="000B33A3" w:rsidRPr="000B33A3" w:rsidRDefault="000B33A3" w:rsidP="000B33A3">
            <w:pPr>
              <w:spacing w:after="0" w:line="240" w:lineRule="auto"/>
              <w:rPr>
                <w:rFonts w:ascii="Times New Roman" w:hAnsi="Times New Roman" w:cs="Times New Roman"/>
                <w:b/>
                <w:color w:val="0A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20"/>
              </w:rPr>
              <w:t>TOTAL DO CERTAME</w:t>
            </w:r>
          </w:p>
        </w:tc>
        <w:tc>
          <w:tcPr>
            <w:tcW w:w="1800" w:type="dxa"/>
            <w:shd w:val="clear" w:color="auto" w:fill="BBBBBB"/>
          </w:tcPr>
          <w:p w:rsidR="000B33A3" w:rsidRPr="000B33A3" w:rsidRDefault="000B33A3" w:rsidP="000B33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A0000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0A0000"/>
                <w:sz w:val="16"/>
              </w:rPr>
              <w:t>R$ 935.845,00</w:t>
            </w:r>
          </w:p>
        </w:tc>
      </w:tr>
    </w:tbl>
    <w:p w:rsidR="005C4FFE" w:rsidRDefault="005C4FFE" w:rsidP="005C4FFE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 xml:space="preserve">Importa-se o presente Pregão na importância total de </w:t>
      </w:r>
      <w:r>
        <w:rPr>
          <w:rFonts w:ascii="Times New Roman" w:hAnsi="Times New Roman" w:cs="Times New Roman"/>
          <w:b/>
          <w:color w:val="0A0000"/>
          <w:sz w:val="24"/>
        </w:rPr>
        <w:t>R$ 935.845,00</w:t>
      </w:r>
      <w:r w:rsidR="00E22954">
        <w:rPr>
          <w:rFonts w:ascii="Times New Roman" w:hAnsi="Times New Roman" w:cs="Times New Roman"/>
          <w:color w:val="0A0000"/>
          <w:sz w:val="24"/>
        </w:rPr>
        <w:t xml:space="preserve"> (Novecentos e Trinta e Cinco Mil, Oitocentos e Quarenta e Cinco Reais</w:t>
      </w:r>
      <w:r>
        <w:rPr>
          <w:rFonts w:ascii="Times New Roman" w:hAnsi="Times New Roman" w:cs="Times New Roman"/>
          <w:color w:val="0A0000"/>
          <w:sz w:val="24"/>
        </w:rPr>
        <w:t>), cuja despesa deverá correr a conta da Dotação Orçamentária:</w:t>
      </w:r>
    </w:p>
    <w:p w:rsidR="00E22954" w:rsidRDefault="00E22954" w:rsidP="005C4FFE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tbl>
      <w:tblPr>
        <w:tblW w:w="0" w:type="auto"/>
        <w:tblInd w:w="73" w:type="dxa"/>
        <w:tblBorders>
          <w:top w:val="single" w:sz="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12"/>
        <w:gridCol w:w="5682"/>
        <w:gridCol w:w="31"/>
      </w:tblGrid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rFonts w:ascii="Arial" w:hAnsi="Arial"/>
                <w:b/>
                <w:bCs/>
                <w:lang w:eastAsia="zh-CN" w:bidi="hi-IN"/>
              </w:rPr>
              <w:t xml:space="preserve">     </w:t>
            </w: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tabs>
                <w:tab w:val="left" w:pos="3159"/>
              </w:tabs>
              <w:spacing w:after="0" w:line="240" w:lineRule="auto"/>
              <w:ind w:left="-194" w:right="-194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2022.0901.08.243.0119.2820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PROGRAMAPRIMEIRA INFÃNCIA NO SUAS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2022.0977 – FONTE (129)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3390.30 – MATERIAL DE CONSUMO</w:t>
            </w:r>
          </w:p>
        </w:tc>
      </w:tr>
    </w:tbl>
    <w:p w:rsidR="00F07222" w:rsidRDefault="00F07222" w:rsidP="00F07222">
      <w:pPr>
        <w:spacing w:after="0" w:line="240" w:lineRule="auto"/>
        <w:jc w:val="both"/>
        <w:rPr>
          <w:rFonts w:ascii="Cambria" w:eastAsia="Times New Roman" w:hAnsi="Cambria" w:cs="Arial"/>
          <w:color w:val="00000A"/>
          <w:lang w:eastAsia="pt-BR"/>
        </w:rPr>
      </w:pPr>
    </w:p>
    <w:tbl>
      <w:tblPr>
        <w:tblW w:w="0" w:type="auto"/>
        <w:tblInd w:w="73" w:type="dxa"/>
        <w:tblBorders>
          <w:top w:val="single" w:sz="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12"/>
        <w:gridCol w:w="5682"/>
        <w:gridCol w:w="31"/>
      </w:tblGrid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tabs>
                <w:tab w:val="left" w:pos="3159"/>
              </w:tabs>
              <w:spacing w:after="0" w:line="240" w:lineRule="auto"/>
              <w:ind w:left="-194" w:right="-194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2022.0901.08.243.0123.2767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MANUT.DA CASA DE PASSAGEM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2022.0986 – FONTE (100)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3390.30 – MATERIAL DE CONSUMO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ind w:left="-176" w:right="-35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2022.0901.08.244.0090.2429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PROM.E.PARTIC.DE.FEST.EVEN.E. COMEMORAÇÕES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2022.0996 -  FONTE (100)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3390.30 – MATERIAL DE CONSUMO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rPr>
                <w:rFonts w:ascii="Arial" w:hAnsi="Arial"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 xml:space="preserve">  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2022.0901.08.243.0123.2767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MANUT.DA CASA DE PASSAGEM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tabs>
                <w:tab w:val="left" w:pos="3159"/>
              </w:tabs>
              <w:spacing w:after="0" w:line="240" w:lineRule="auto"/>
              <w:ind w:left="-194" w:right="-194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 xml:space="preserve">                  Natureza da Despesa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rPr>
                <w:lang w:eastAsia="zh-CN" w:bidi="hi-IN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rPr>
                <w:rFonts w:ascii="Liberation Serif" w:eastAsia="Droid Sans Fallback" w:hAnsi="Liberation Serif" w:cs="FreeSans"/>
                <w:sz w:val="20"/>
                <w:szCs w:val="20"/>
              </w:rPr>
            </w:pP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2022.1016 – FONTE (100)    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7222" w:rsidRDefault="00F07222" w:rsidP="00C87889">
            <w:pPr>
              <w:spacing w:after="0" w:line="240" w:lineRule="auto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          3390.30 – MATERIAL DE CONSUMO</w:t>
            </w:r>
          </w:p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                </w:t>
            </w:r>
          </w:p>
        </w:tc>
      </w:tr>
      <w:tr w:rsidR="00F07222" w:rsidTr="00C87889"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713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ind w:left="-176" w:right="-35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2022.0901.08.244.0117.2697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MANUTENCAO DO PROGRAMA BOLSA FAMILIA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2022.1052 -  FONTE (129)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3390.30 – MATERIAL DE CONSUMO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/>
                <w:lang w:eastAsia="zh-CN" w:bidi="hi-IN"/>
              </w:rPr>
            </w:pPr>
          </w:p>
        </w:tc>
        <w:tc>
          <w:tcPr>
            <w:tcW w:w="5713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F07222" w:rsidRDefault="00F07222" w:rsidP="00C87889">
            <w:pPr>
              <w:spacing w:after="0" w:line="240" w:lineRule="auto"/>
              <w:rPr>
                <w:rFonts w:ascii="Arial" w:hAnsi="Arial"/>
                <w:lang w:eastAsia="zh-CN" w:bidi="hi-IN"/>
              </w:rPr>
            </w:pPr>
          </w:p>
          <w:p w:rsidR="00F07222" w:rsidRDefault="00F07222" w:rsidP="00C87889">
            <w:pPr>
              <w:spacing w:after="0" w:line="240" w:lineRule="auto"/>
              <w:rPr>
                <w:rFonts w:ascii="Arial" w:hAnsi="Arial"/>
                <w:lang w:eastAsia="zh-CN" w:bidi="hi-IN"/>
              </w:rPr>
            </w:pP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/>
                <w:b/>
                <w:bCs/>
                <w:lang w:eastAsia="zh-CN" w:bidi="hi-IN"/>
              </w:rPr>
              <w:t xml:space="preserve">     </w:t>
            </w: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tabs>
                <w:tab w:val="left" w:pos="3159"/>
              </w:tabs>
              <w:spacing w:after="0" w:line="240" w:lineRule="auto"/>
              <w:ind w:left="-194" w:right="-194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2022.0901.08.244.0117.2721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MANUT. DO PAIF/CRAS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2022.1061 – FONTE (129)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3390.30 – MATERIAL DE CONSUMO</w:t>
            </w:r>
          </w:p>
        </w:tc>
      </w:tr>
    </w:tbl>
    <w:p w:rsidR="00F07222" w:rsidRDefault="00F07222" w:rsidP="00F07222">
      <w:pPr>
        <w:spacing w:after="0" w:line="240" w:lineRule="auto"/>
        <w:jc w:val="both"/>
        <w:rPr>
          <w:rFonts w:ascii="Arial" w:eastAsia="Times New Roman" w:hAnsi="Arial"/>
          <w:b/>
          <w:bCs/>
          <w:color w:val="00000A"/>
          <w:lang w:eastAsia="pt-BR"/>
        </w:rPr>
      </w:pPr>
    </w:p>
    <w:tbl>
      <w:tblPr>
        <w:tblW w:w="0" w:type="auto"/>
        <w:tblInd w:w="73" w:type="dxa"/>
        <w:tblBorders>
          <w:top w:val="single" w:sz="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12"/>
        <w:gridCol w:w="5682"/>
        <w:gridCol w:w="31"/>
      </w:tblGrid>
      <w:tr w:rsidR="00F07222" w:rsidTr="00C87889">
        <w:tc>
          <w:tcPr>
            <w:tcW w:w="341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/>
                <w:lang w:eastAsia="zh-CN" w:bidi="hi-IN"/>
              </w:rPr>
            </w:pPr>
          </w:p>
        </w:tc>
        <w:tc>
          <w:tcPr>
            <w:tcW w:w="5713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F07222" w:rsidRDefault="00F07222" w:rsidP="00C87889">
            <w:pPr>
              <w:spacing w:after="0" w:line="240" w:lineRule="auto"/>
              <w:rPr>
                <w:rFonts w:ascii="Arial" w:hAnsi="Arial"/>
                <w:lang w:eastAsia="zh-CN" w:bidi="hi-IN"/>
              </w:rPr>
            </w:pP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/>
                <w:b/>
                <w:bCs/>
                <w:lang w:eastAsia="zh-CN" w:bidi="hi-IN"/>
              </w:rPr>
              <w:t xml:space="preserve">     </w:t>
            </w: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tabs>
                <w:tab w:val="left" w:pos="3159"/>
              </w:tabs>
              <w:spacing w:after="0" w:line="240" w:lineRule="auto"/>
              <w:ind w:left="-194" w:right="-194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2022.0901.08.244.0117.2721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MANUT. DO PAIF/CRAS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2022.1077 – FONTE (100)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3390.39 – OUTROS.SERV.TERC.PES.JURIDICA</w:t>
            </w:r>
          </w:p>
        </w:tc>
      </w:tr>
    </w:tbl>
    <w:p w:rsidR="00F07222" w:rsidRDefault="00F07222" w:rsidP="00F07222">
      <w:pPr>
        <w:tabs>
          <w:tab w:val="left" w:pos="210"/>
          <w:tab w:val="center" w:pos="2733"/>
        </w:tabs>
        <w:spacing w:after="0" w:line="240" w:lineRule="auto"/>
        <w:rPr>
          <w:rFonts w:ascii="Arial" w:eastAsia="Times New Roman" w:hAnsi="Arial" w:cs="Arial"/>
          <w:b/>
          <w:i/>
          <w:color w:val="00000A"/>
          <w:lang w:eastAsia="zh-CN" w:bidi="hi-IN"/>
        </w:rPr>
      </w:pPr>
    </w:p>
    <w:tbl>
      <w:tblPr>
        <w:tblW w:w="0" w:type="auto"/>
        <w:tblInd w:w="73" w:type="dxa"/>
        <w:tblBorders>
          <w:top w:val="single" w:sz="4" w:space="0" w:color="00000A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12"/>
        <w:gridCol w:w="5682"/>
        <w:gridCol w:w="31"/>
      </w:tblGrid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/>
                <w:b/>
                <w:bCs/>
                <w:lang w:eastAsia="zh-CN" w:bidi="hi-IN"/>
              </w:rPr>
              <w:t xml:space="preserve">     </w:t>
            </w:r>
            <w:r>
              <w:rPr>
                <w:rFonts w:ascii="Arial" w:hAnsi="Arial" w:cs="Arial"/>
                <w:b/>
                <w:i/>
                <w:lang w:eastAsia="zh-CN" w:bidi="hi-IN"/>
              </w:rPr>
              <w:t>Dotação Orçamentária</w:t>
            </w:r>
          </w:p>
        </w:tc>
        <w:tc>
          <w:tcPr>
            <w:tcW w:w="568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Discriminação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tabs>
                <w:tab w:val="left" w:pos="3159"/>
              </w:tabs>
              <w:spacing w:after="0" w:line="240" w:lineRule="auto"/>
              <w:ind w:left="-194" w:right="-194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2022.0901.08.244.0116.2528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lang w:eastAsia="zh-CN" w:bidi="hi-IN"/>
              </w:rPr>
              <w:t>MANUT.DAS.ATIV.DA</w:t>
            </w:r>
            <w:proofErr w:type="gramEnd"/>
            <w:r>
              <w:rPr>
                <w:rFonts w:ascii="Arial" w:hAnsi="Arial" w:cs="Arial"/>
                <w:i/>
                <w:lang w:eastAsia="zh-CN" w:bidi="hi-IN"/>
              </w:rPr>
              <w:t xml:space="preserve"> SEC.MUN.DE.SOC.E TRABALHO                           </w:t>
            </w:r>
          </w:p>
          <w:p w:rsidR="00F07222" w:rsidRDefault="00F07222" w:rsidP="00C87889">
            <w:pPr>
              <w:spacing w:after="0" w:line="240" w:lineRule="auto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 xml:space="preserve"> </w:t>
            </w:r>
          </w:p>
        </w:tc>
      </w:tr>
      <w:tr w:rsidR="00F07222" w:rsidTr="00C87889">
        <w:trPr>
          <w:gridAfter w:val="1"/>
          <w:wAfter w:w="31" w:type="dxa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Dotação Compactada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lang w:eastAsia="zh-CN" w:bidi="hi-IN"/>
              </w:rPr>
            </w:pPr>
            <w:r>
              <w:rPr>
                <w:rFonts w:ascii="Arial" w:hAnsi="Arial" w:cs="Arial"/>
                <w:b/>
                <w:i/>
                <w:lang w:eastAsia="zh-CN" w:bidi="hi-IN"/>
              </w:rPr>
              <w:t>Natureza da Despesa</w:t>
            </w:r>
          </w:p>
        </w:tc>
      </w:tr>
      <w:tr w:rsidR="00F07222" w:rsidTr="00C87889"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2022.1006 – FONTE (100)</w:t>
            </w: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07222" w:rsidRDefault="00F07222" w:rsidP="00C87889">
            <w:pPr>
              <w:spacing w:after="0" w:line="240" w:lineRule="auto"/>
              <w:jc w:val="center"/>
              <w:rPr>
                <w:rFonts w:ascii="Arial" w:hAnsi="Arial" w:cs="Arial"/>
                <w:i/>
                <w:lang w:eastAsia="zh-CN" w:bidi="hi-IN"/>
              </w:rPr>
            </w:pPr>
            <w:r>
              <w:rPr>
                <w:rFonts w:ascii="Arial" w:hAnsi="Arial" w:cs="Arial"/>
                <w:i/>
                <w:lang w:eastAsia="zh-CN" w:bidi="hi-IN"/>
              </w:rPr>
              <w:t>3390.30 – MATERIAL DE CONSUMO</w:t>
            </w:r>
          </w:p>
        </w:tc>
      </w:tr>
    </w:tbl>
    <w:p w:rsidR="00F07222" w:rsidRDefault="00F07222" w:rsidP="00F07222">
      <w:pPr>
        <w:spacing w:after="0" w:line="240" w:lineRule="auto"/>
        <w:jc w:val="both"/>
        <w:rPr>
          <w:rFonts w:ascii="Arial" w:hAnsi="Arial"/>
          <w:b/>
          <w:bCs/>
        </w:rPr>
      </w:pPr>
    </w:p>
    <w:p w:rsidR="00F07222" w:rsidRDefault="00F07222" w:rsidP="00F07222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SUB-NATUREZA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>DISCRIMINAÇÃO</w:t>
      </w:r>
    </w:p>
    <w:p w:rsidR="00F07222" w:rsidRDefault="00F07222" w:rsidP="00F07222">
      <w:pPr>
        <w:spacing w:after="0" w:line="240" w:lineRule="auto"/>
        <w:jc w:val="both"/>
        <w:rPr>
          <w:rFonts w:ascii="Arial" w:hAnsi="Arial"/>
          <w:b/>
          <w:bCs/>
        </w:rPr>
      </w:pPr>
    </w:p>
    <w:p w:rsidR="00F07222" w:rsidRDefault="00F07222" w:rsidP="00F07222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  <w:t xml:space="preserve">       07</w:t>
      </w:r>
      <w:r>
        <w:rPr>
          <w:rFonts w:ascii="Arial" w:hAnsi="Arial"/>
          <w:b/>
          <w:bCs/>
        </w:rPr>
        <w:tab/>
        <w:t xml:space="preserve">                                      GÊNEROS DE ALIMENTAÇÃO</w:t>
      </w:r>
    </w:p>
    <w:p w:rsidR="00E22954" w:rsidRDefault="00E22954" w:rsidP="005C4FFE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both"/>
        <w:rPr>
          <w:rFonts w:ascii="Times New Roman" w:hAnsi="Times New Roman" w:cs="Times New Roman"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 xml:space="preserve"> PUBLIQUE-SE.</w:t>
      </w:r>
    </w:p>
    <w:p w:rsidR="00F07222" w:rsidRDefault="00F07222" w:rsidP="005C4FFE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F07222" w:rsidRDefault="00F07222" w:rsidP="005C4FFE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F07222" w:rsidRDefault="00F07222" w:rsidP="005C4FFE">
      <w:pPr>
        <w:spacing w:after="0" w:line="240" w:lineRule="auto"/>
        <w:jc w:val="both"/>
        <w:rPr>
          <w:rFonts w:ascii="Times New Roman" w:hAnsi="Times New Roman" w:cs="Times New Roman"/>
          <w:b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b/>
          <w:color w:val="0A0000"/>
          <w:sz w:val="24"/>
        </w:rPr>
        <w:t>LUZIANIA</w:t>
      </w:r>
      <w:r w:rsidR="00C23F5D">
        <w:rPr>
          <w:rFonts w:ascii="Times New Roman" w:hAnsi="Times New Roman" w:cs="Times New Roman"/>
          <w:color w:val="0A0000"/>
          <w:sz w:val="24"/>
        </w:rPr>
        <w:t>, 19</w:t>
      </w:r>
      <w:bookmarkStart w:id="0" w:name="_GoBack"/>
      <w:bookmarkEnd w:id="0"/>
      <w:r>
        <w:rPr>
          <w:rFonts w:ascii="Times New Roman" w:hAnsi="Times New Roman" w:cs="Times New Roman"/>
          <w:color w:val="0A0000"/>
          <w:sz w:val="24"/>
        </w:rPr>
        <w:t xml:space="preserve"> DE </w:t>
      </w:r>
      <w:proofErr w:type="gramStart"/>
      <w:r>
        <w:rPr>
          <w:rFonts w:ascii="Times New Roman" w:hAnsi="Times New Roman" w:cs="Times New Roman"/>
          <w:color w:val="0A0000"/>
          <w:sz w:val="24"/>
        </w:rPr>
        <w:t>OUTUBRO</w:t>
      </w:r>
      <w:proofErr w:type="gramEnd"/>
      <w:r>
        <w:rPr>
          <w:rFonts w:ascii="Times New Roman" w:hAnsi="Times New Roman" w:cs="Times New Roman"/>
          <w:color w:val="0A0000"/>
          <w:sz w:val="24"/>
        </w:rPr>
        <w:t xml:space="preserve"> DE 2022.</w:t>
      </w:r>
    </w:p>
    <w:p w:rsidR="005C4FFE" w:rsidRDefault="005C4FFE" w:rsidP="005C4FF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E22954" w:rsidRDefault="00E22954" w:rsidP="005C4FFE">
      <w:pPr>
        <w:spacing w:after="0" w:line="240" w:lineRule="auto"/>
        <w:jc w:val="right"/>
        <w:rPr>
          <w:rFonts w:ascii="Times New Roman" w:hAnsi="Times New Roman" w:cs="Times New Roman"/>
          <w:color w:val="0A0000"/>
          <w:sz w:val="24"/>
        </w:rPr>
      </w:pPr>
    </w:p>
    <w:p w:rsidR="005C4FFE" w:rsidRDefault="005C4FFE" w:rsidP="005C4FFE">
      <w:pPr>
        <w:spacing w:after="0" w:line="240" w:lineRule="auto"/>
        <w:jc w:val="center"/>
        <w:rPr>
          <w:rFonts w:ascii="Times New Roman" w:hAnsi="Times New Roman" w:cs="Times New Roman"/>
          <w:color w:val="0A0000"/>
          <w:sz w:val="24"/>
        </w:rPr>
      </w:pPr>
      <w:r>
        <w:rPr>
          <w:rFonts w:ascii="Times New Roman" w:hAnsi="Times New Roman" w:cs="Times New Roman"/>
          <w:color w:val="0A0000"/>
          <w:sz w:val="24"/>
        </w:rPr>
        <w:t>MICHELE AGUIAR DE CASTRO MEIRELES</w:t>
      </w:r>
    </w:p>
    <w:p w:rsidR="00B42097" w:rsidRPr="005C4FFE" w:rsidRDefault="005C4FFE" w:rsidP="005C4FFE">
      <w:pPr>
        <w:spacing w:after="0" w:line="240" w:lineRule="auto"/>
        <w:jc w:val="center"/>
        <w:rPr>
          <w:rFonts w:ascii="Times New Roman" w:hAnsi="Times New Roman" w:cs="Times New Roman"/>
          <w:b/>
          <w:color w:val="0A0000"/>
          <w:sz w:val="20"/>
        </w:rPr>
      </w:pPr>
      <w:r>
        <w:rPr>
          <w:rFonts w:ascii="Times New Roman" w:hAnsi="Times New Roman" w:cs="Times New Roman"/>
          <w:b/>
          <w:color w:val="0A0000"/>
          <w:sz w:val="20"/>
        </w:rPr>
        <w:t>GESTORA DO FUNDO MUNICIPAL DE ASSISTÊNCIA SOCIAL - FMAS</w:t>
      </w:r>
    </w:p>
    <w:sectPr w:rsidR="00B42097" w:rsidRPr="005C4FFE" w:rsidSect="00B420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20" w:right="1120" w:bottom="1120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97" w:rsidRDefault="00B42097" w:rsidP="00B42097">
      <w:pPr>
        <w:spacing w:after="0" w:line="240" w:lineRule="auto"/>
      </w:pPr>
      <w:r>
        <w:separator/>
      </w:r>
    </w:p>
  </w:endnote>
  <w:endnote w:type="continuationSeparator" w:id="0">
    <w:p w:rsidR="00B42097" w:rsidRDefault="00B42097" w:rsidP="00B4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A3" w:rsidRDefault="004763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A3" w:rsidRDefault="004763A3" w:rsidP="004763A3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________________________________________________________________________________________________________________</w:t>
    </w:r>
  </w:p>
  <w:p w:rsidR="004763A3" w:rsidRDefault="004763A3" w:rsidP="004763A3">
    <w:pPr>
      <w:pStyle w:val="Rodap"/>
      <w:jc w:val="center"/>
      <w:rPr>
        <w:rFonts w:ascii="Times New Roman" w:hAnsi="Times New Roman" w:cs="Times New Roman"/>
        <w:color w:val="0A0000"/>
        <w:sz w:val="4"/>
      </w:rPr>
    </w:pPr>
  </w:p>
  <w:p w:rsidR="004763A3" w:rsidRDefault="004763A3" w:rsidP="004763A3">
    <w:pPr>
      <w:pStyle w:val="Rodap"/>
      <w:jc w:val="center"/>
      <w:rPr>
        <w:rFonts w:ascii="Times New Roman" w:hAnsi="Times New Roman" w:cs="Times New Roman"/>
        <w:color w:val="0A0000"/>
        <w:sz w:val="16"/>
      </w:rPr>
    </w:pPr>
    <w:r>
      <w:rPr>
        <w:rFonts w:ascii="Times New Roman" w:hAnsi="Times New Roman" w:cs="Times New Roman"/>
        <w:color w:val="0A0000"/>
        <w:sz w:val="16"/>
      </w:rPr>
      <w:t>PRAÇA NIRSON CARNEIRO LOBO, nº 34, CENTRO, CEP: 78.000-060, LUZIANIA - Fone: (61) 3906-3080</w:t>
    </w:r>
  </w:p>
  <w:p w:rsidR="00B42097" w:rsidRPr="004763A3" w:rsidRDefault="00B42097" w:rsidP="004763A3">
    <w:pPr>
      <w:pStyle w:val="Rodap"/>
      <w:jc w:val="center"/>
      <w:rPr>
        <w:rFonts w:ascii="Times New Roman" w:hAnsi="Times New Roman" w:cs="Times New Roman"/>
        <w:color w:val="0A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A3" w:rsidRDefault="004763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97" w:rsidRDefault="00B42097" w:rsidP="00B42097">
      <w:pPr>
        <w:spacing w:after="0" w:line="240" w:lineRule="auto"/>
      </w:pPr>
      <w:r>
        <w:separator/>
      </w:r>
    </w:p>
  </w:footnote>
  <w:footnote w:type="continuationSeparator" w:id="0">
    <w:p w:rsidR="00B42097" w:rsidRDefault="00B42097" w:rsidP="00B4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97" w:rsidRDefault="00B42097" w:rsidP="00107D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B42097" w:rsidRDefault="00B42097" w:rsidP="00B420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97" w:rsidRDefault="00B42097" w:rsidP="00107D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23F5D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B42097" w:rsidRDefault="00B42097" w:rsidP="00B42097">
    <w:pPr>
      <w:pStyle w:val="Cabealho"/>
      <w:ind w:right="360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noProof/>
        <w:color w:val="0A0000"/>
        <w:sz w:val="2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-444500</wp:posOffset>
          </wp:positionV>
          <wp:extent cx="1524000" cy="1016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2097" w:rsidRDefault="00B42097" w:rsidP="00B42097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B42097" w:rsidRDefault="00B42097" w:rsidP="00B42097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B42097" w:rsidRDefault="00B42097" w:rsidP="00B42097">
    <w:pPr>
      <w:pStyle w:val="Cabealho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color w:val="0A0000"/>
        <w:sz w:val="26"/>
      </w:rPr>
      <w:t>SECRETARIA M. DE ASSISTÊNCIA SOCIAL E TRABALHO</w:t>
    </w:r>
  </w:p>
  <w:p w:rsidR="00B42097" w:rsidRDefault="00B42097" w:rsidP="00B42097">
    <w:pPr>
      <w:pStyle w:val="Cabealho"/>
      <w:jc w:val="center"/>
      <w:rPr>
        <w:rFonts w:ascii="Times New Roman" w:hAnsi="Times New Roman" w:cs="Times New Roman"/>
        <w:color w:val="0A0000"/>
        <w:sz w:val="26"/>
      </w:rPr>
    </w:pPr>
    <w:r>
      <w:rPr>
        <w:rFonts w:ascii="Times New Roman" w:hAnsi="Times New Roman" w:cs="Times New Roman"/>
        <w:color w:val="0A0000"/>
        <w:sz w:val="26"/>
      </w:rPr>
      <w:t>COMISSÃO PERMANENTE DE LICITAÇÃO</w:t>
    </w:r>
  </w:p>
  <w:p w:rsidR="00B42097" w:rsidRDefault="00B42097" w:rsidP="00B42097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  <w:p w:rsidR="00B42097" w:rsidRPr="00B42097" w:rsidRDefault="00B42097" w:rsidP="00B42097">
    <w:pPr>
      <w:pStyle w:val="Cabealho"/>
      <w:jc w:val="center"/>
      <w:rPr>
        <w:rFonts w:ascii="Times New Roman" w:hAnsi="Times New Roman" w:cs="Times New Roman"/>
        <w:color w:val="0A0000"/>
        <w:sz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A3" w:rsidRDefault="004763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97"/>
    <w:rsid w:val="000B33A3"/>
    <w:rsid w:val="001E6C8F"/>
    <w:rsid w:val="003C3D00"/>
    <w:rsid w:val="004763A3"/>
    <w:rsid w:val="005C4FFE"/>
    <w:rsid w:val="00B42097"/>
    <w:rsid w:val="00C23F5D"/>
    <w:rsid w:val="00E22954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D1F1"/>
  <w15:chartTrackingRefBased/>
  <w15:docId w15:val="{A34E73D5-5368-4EE9-9367-D366139B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097"/>
  </w:style>
  <w:style w:type="paragraph" w:styleId="Rodap">
    <w:name w:val="footer"/>
    <w:basedOn w:val="Normal"/>
    <w:link w:val="RodapChar"/>
    <w:uiPriority w:val="99"/>
    <w:unhideWhenUsed/>
    <w:rsid w:val="00B4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097"/>
  </w:style>
  <w:style w:type="character" w:styleId="Nmerodepgina">
    <w:name w:val="page number"/>
    <w:basedOn w:val="Fontepargpadro"/>
    <w:uiPriority w:val="99"/>
    <w:semiHidden/>
    <w:unhideWhenUsed/>
    <w:rsid w:val="00B42097"/>
  </w:style>
  <w:style w:type="paragraph" w:styleId="Textodebalo">
    <w:name w:val="Balloon Text"/>
    <w:basedOn w:val="Normal"/>
    <w:link w:val="TextodebaloChar"/>
    <w:uiPriority w:val="99"/>
    <w:semiHidden/>
    <w:unhideWhenUsed/>
    <w:rsid w:val="00F0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5584</Words>
  <Characters>30159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Licitação-05</dc:creator>
  <cp:keywords/>
  <dc:description/>
  <cp:lastModifiedBy>PADILHA</cp:lastModifiedBy>
  <cp:revision>6</cp:revision>
  <cp:lastPrinted>2022-10-19T13:35:00Z</cp:lastPrinted>
  <dcterms:created xsi:type="dcterms:W3CDTF">2022-10-14T14:21:00Z</dcterms:created>
  <dcterms:modified xsi:type="dcterms:W3CDTF">2022-10-19T13:35:00Z</dcterms:modified>
</cp:coreProperties>
</file>